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42" w:rsidRDefault="000F2D42" w:rsidP="000F2D42">
      <w:pPr>
        <w:jc w:val="right"/>
        <w:rPr>
          <w:i/>
        </w:rPr>
      </w:pPr>
      <w:r>
        <w:rPr>
          <w:i/>
        </w:rPr>
        <w:t>Załącznik nr 3</w:t>
      </w:r>
    </w:p>
    <w:p w:rsidR="000F2D42" w:rsidRDefault="000F2D42" w:rsidP="000F2D42">
      <w:pPr>
        <w:jc w:val="both"/>
        <w:rPr>
          <w:i/>
        </w:rPr>
      </w:pPr>
    </w:p>
    <w:p w:rsidR="000F2D42" w:rsidRDefault="000F2D42" w:rsidP="000F2D42">
      <w:pPr>
        <w:jc w:val="both"/>
        <w:rPr>
          <w:i/>
        </w:rPr>
      </w:pPr>
      <w:r>
        <w:rPr>
          <w:i/>
          <w:iCs/>
        </w:rPr>
        <w:t xml:space="preserve">___________________________                                      </w:t>
      </w:r>
      <w:r>
        <w:rPr>
          <w:i/>
        </w:rPr>
        <w:t>..……..….....….….………..….....….....………..….....….</w:t>
      </w:r>
    </w:p>
    <w:p w:rsidR="000F2D42" w:rsidRDefault="000F2D42" w:rsidP="000F2D42">
      <w:pPr>
        <w:ind w:left="5664" w:firstLine="708"/>
        <w:jc w:val="both"/>
      </w:pPr>
      <w:r>
        <w:t>(miejscowość, data)</w:t>
      </w:r>
    </w:p>
    <w:p w:rsidR="000F2D42" w:rsidRDefault="000F2D42" w:rsidP="000F2D42">
      <w:pPr>
        <w:jc w:val="both"/>
        <w:rPr>
          <w:b/>
          <w:bCs/>
          <w:i/>
        </w:rPr>
      </w:pPr>
    </w:p>
    <w:p w:rsidR="000F2D42" w:rsidRDefault="000F2D42" w:rsidP="000F2D42">
      <w:r>
        <w:rPr>
          <w:i/>
          <w:iCs/>
        </w:rPr>
        <w:t xml:space="preserve">Pieczęć lub dane oferenta </w:t>
      </w:r>
      <w:r>
        <w:rPr>
          <w:i/>
          <w:iCs/>
        </w:rPr>
        <w:tab/>
        <w:t xml:space="preserve">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</w:p>
    <w:p w:rsidR="000F2D42" w:rsidRDefault="000F2D42" w:rsidP="000F2D42">
      <w:pPr>
        <w:ind w:left="5664" w:firstLine="708"/>
        <w:jc w:val="both"/>
      </w:pPr>
    </w:p>
    <w:p w:rsidR="000F2D42" w:rsidRDefault="000F2D42" w:rsidP="000F2D42">
      <w:pPr>
        <w:ind w:left="4248" w:firstLine="708"/>
        <w:jc w:val="both"/>
      </w:pPr>
      <w:r>
        <w:rPr>
          <w:b/>
          <w:bCs/>
        </w:rPr>
        <w:t xml:space="preserve">Powiatowe Centrum </w:t>
      </w:r>
    </w:p>
    <w:p w:rsidR="000F2D42" w:rsidRDefault="000F2D42" w:rsidP="000F2D42">
      <w:pPr>
        <w:ind w:left="4248" w:firstLine="708"/>
        <w:jc w:val="both"/>
      </w:pPr>
      <w:r>
        <w:rPr>
          <w:b/>
          <w:bCs/>
        </w:rPr>
        <w:t>Pomoc Rodzinie</w:t>
      </w:r>
    </w:p>
    <w:p w:rsidR="000F2D42" w:rsidRDefault="000F2D42" w:rsidP="000F2D42">
      <w:pPr>
        <w:ind w:left="4248" w:firstLine="708"/>
        <w:jc w:val="both"/>
      </w:pPr>
      <w:r>
        <w:rPr>
          <w:b/>
          <w:bCs/>
        </w:rPr>
        <w:t>ul. Plac Słowiański 17</w:t>
      </w:r>
    </w:p>
    <w:p w:rsidR="000F2D42" w:rsidRDefault="000F2D42" w:rsidP="000F2D42">
      <w:pPr>
        <w:ind w:left="4248" w:firstLine="708"/>
        <w:jc w:val="both"/>
      </w:pPr>
      <w:r>
        <w:rPr>
          <w:b/>
          <w:bCs/>
        </w:rPr>
        <w:t>82-200 Malbork</w:t>
      </w:r>
    </w:p>
    <w:p w:rsidR="000F2D42" w:rsidRDefault="000F2D42" w:rsidP="000F2D42">
      <w:pPr>
        <w:jc w:val="both"/>
        <w:rPr>
          <w:sz w:val="24"/>
          <w:szCs w:val="24"/>
        </w:rPr>
      </w:pPr>
    </w:p>
    <w:p w:rsidR="000F2D42" w:rsidRDefault="000F2D42" w:rsidP="000F2D42">
      <w:pPr>
        <w:jc w:val="both"/>
        <w:rPr>
          <w:sz w:val="24"/>
          <w:szCs w:val="24"/>
        </w:rPr>
      </w:pPr>
    </w:p>
    <w:p w:rsidR="000F2D42" w:rsidRDefault="000F2D42" w:rsidP="000F2D42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0F2D42" w:rsidRDefault="000F2D42" w:rsidP="000F2D42">
      <w:pPr>
        <w:jc w:val="both"/>
        <w:rPr>
          <w:bCs/>
        </w:rPr>
      </w:pPr>
      <w:r>
        <w:rPr>
          <w:bCs/>
        </w:rPr>
        <w:t>O braku podstaw do wykluczenia z udziału w postępowaniu o udzielenie zamówienia określonych w art. 24 ust. 1 ustawy (str. 2  niniejszego oświadczenia) - Prawo zamówień publicznych.</w:t>
      </w:r>
    </w:p>
    <w:p w:rsidR="000F2D42" w:rsidRDefault="000F2D42" w:rsidP="000F2D42">
      <w:pPr>
        <w:jc w:val="both"/>
        <w:rPr>
          <w:bCs/>
        </w:rPr>
      </w:pPr>
    </w:p>
    <w:p w:rsidR="000F2D42" w:rsidRDefault="000F2D42" w:rsidP="000F2D42">
      <w:pPr>
        <w:jc w:val="both"/>
      </w:pPr>
      <w:r>
        <w:rPr>
          <w:bCs/>
        </w:rPr>
        <w:tab/>
        <w:t>Składając ofertę w postępowaniu prowadzonym w formie „Zapytania ofertowego” dotyczącego  przeprowadzenia programu korekcyjno-edukacyjnego dla osób stosujących przemoc w rodzinie w powiecie malborskim w warunkach wolnościowych w 2016r</w:t>
      </w:r>
      <w:r>
        <w:t xml:space="preserve"> </w:t>
      </w:r>
      <w:r>
        <w:rPr>
          <w:bCs/>
        </w:rPr>
        <w:t xml:space="preserve">oświadczam, że nie podlegam wykluczeniu z postępowania o udzielenie zamówienia publicznego na podstawie art. 24 ust. 1  z dnia 29 stycznia 2004 r. – Prawo zamówień publicznych </w:t>
      </w:r>
      <w:r>
        <w:rPr>
          <w:bCs/>
          <w:color w:val="000000"/>
        </w:rPr>
        <w:t>(Dz. U. 2013, poz. 907 ze zm.)</w:t>
      </w:r>
    </w:p>
    <w:p w:rsidR="000F2D42" w:rsidRDefault="000F2D42" w:rsidP="000F2D42">
      <w:pPr>
        <w:jc w:val="both"/>
        <w:rPr>
          <w:bCs/>
        </w:rPr>
      </w:pPr>
      <w:r>
        <w:rPr>
          <w:bCs/>
        </w:rPr>
        <w:t xml:space="preserve"> </w:t>
      </w:r>
    </w:p>
    <w:p w:rsidR="000F2D42" w:rsidRDefault="000F2D42" w:rsidP="000F2D42">
      <w:pPr>
        <w:jc w:val="both"/>
        <w:rPr>
          <w:bCs/>
        </w:rPr>
      </w:pPr>
    </w:p>
    <w:p w:rsidR="000F2D42" w:rsidRDefault="000F2D42" w:rsidP="000F2D42">
      <w:pPr>
        <w:jc w:val="both"/>
        <w:rPr>
          <w:bCs/>
        </w:rPr>
      </w:pPr>
    </w:p>
    <w:p w:rsidR="000F2D42" w:rsidRDefault="000F2D42" w:rsidP="000F2D42">
      <w:pPr>
        <w:jc w:val="both"/>
        <w:rPr>
          <w:bCs/>
        </w:rPr>
      </w:pPr>
    </w:p>
    <w:p w:rsidR="000F2D42" w:rsidRDefault="000F2D42" w:rsidP="000F2D42">
      <w:pPr>
        <w:ind w:left="4956"/>
        <w:jc w:val="both"/>
      </w:pPr>
      <w:r>
        <w:t>__________________________________</w:t>
      </w:r>
    </w:p>
    <w:p w:rsidR="000F2D42" w:rsidRDefault="000F2D42" w:rsidP="000F2D42">
      <w:pPr>
        <w:ind w:left="4248" w:firstLine="708"/>
        <w:jc w:val="both"/>
      </w:pPr>
      <w:r>
        <w:t xml:space="preserve">pieczęć i podpis czytelny Wykonawcy  </w:t>
      </w:r>
    </w:p>
    <w:p w:rsidR="000F2D42" w:rsidRDefault="000F2D42" w:rsidP="000F2D42">
      <w:pPr>
        <w:ind w:left="360"/>
        <w:jc w:val="both"/>
        <w:rPr>
          <w:sz w:val="24"/>
          <w:szCs w:val="24"/>
        </w:rPr>
      </w:pPr>
    </w:p>
    <w:p w:rsidR="000F2D42" w:rsidRDefault="000F2D42" w:rsidP="000F2D42">
      <w:pPr>
        <w:ind w:left="360"/>
        <w:jc w:val="both"/>
        <w:rPr>
          <w:sz w:val="24"/>
          <w:szCs w:val="24"/>
        </w:rPr>
      </w:pPr>
    </w:p>
    <w:p w:rsidR="000F2D42" w:rsidRDefault="000F2D42" w:rsidP="000F2D42">
      <w:pPr>
        <w:ind w:left="360"/>
        <w:jc w:val="both"/>
        <w:rPr>
          <w:sz w:val="24"/>
          <w:szCs w:val="24"/>
        </w:rPr>
      </w:pPr>
    </w:p>
    <w:p w:rsidR="000F2D42" w:rsidRDefault="000F2D42" w:rsidP="000F2D42">
      <w:pPr>
        <w:pStyle w:val="p0"/>
        <w:shd w:val="clear" w:color="auto" w:fill="F9F9F9"/>
        <w:spacing w:line="300" w:lineRule="atLeast"/>
        <w:jc w:val="both"/>
      </w:pPr>
      <w:r>
        <w:rPr>
          <w:b/>
          <w:bCs/>
          <w:sz w:val="16"/>
          <w:szCs w:val="16"/>
        </w:rPr>
        <w:t>Art. 24.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[Podmioty wykluczone z postępowania o udzielenie zamówienia]</w:t>
      </w:r>
      <w:r>
        <w:rPr>
          <w:sz w:val="16"/>
          <w:szCs w:val="16"/>
        </w:rPr>
        <w:t xml:space="preserve"> 1. Z postępowania o udzielenie zamówienia wyklucza się: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1) 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2) 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3) 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4) 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5) 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6) 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7) 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8) 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9) podmioty zbiorowe, wobec których sąd orzekł zakaz ubiegania się o zamówienia na podstawie przepisów o odpowiedzialności podmiotów zbiorowych za czyny zabronione pod groźbą kary;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</w:pPr>
      <w:r>
        <w:rPr>
          <w:sz w:val="16"/>
          <w:szCs w:val="16"/>
        </w:rPr>
        <w:t xml:space="preserve">10) </w:t>
      </w:r>
      <w:hyperlink r:id="rId5" w:anchor="_edn1%23_edn1" w:history="1">
        <w:bookmarkStart w:id="0" w:name="_ednref1"/>
        <w:r>
          <w:rPr>
            <w:rStyle w:val="Znakiprzypiswkocowych"/>
            <w:b/>
            <w:color w:val="374D5C"/>
            <w:sz w:val="16"/>
            <w:szCs w:val="16"/>
          </w:rPr>
          <w:t>[1]</w:t>
        </w:r>
      </w:hyperlink>
      <w:bookmarkEnd w:id="0"/>
      <w:r>
        <w:rPr>
          <w:b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wykonawców będących osobami fizycznymi, które prawomocnie skazano za przestępstwo, o którym mowa w art. 9 lub art. 10 ustawy z dnia 15 czerwca 2012 r. o skutkach powierzania wykonywania pracy cudzoziemcom przebywającym </w:t>
      </w:r>
      <w:r>
        <w:rPr>
          <w:rStyle w:val="zsp01"/>
          <w:bCs/>
          <w:sz w:val="16"/>
          <w:szCs w:val="16"/>
        </w:rPr>
        <w:t xml:space="preserve">wbrew przepisom na terytorium Rzeczypospolitej Polskiej (Dz. U. poz. 769) – przez okres 1 roku od dnia uprawomocnienia się wyroku;                                                   </w:t>
      </w:r>
    </w:p>
    <w:p w:rsidR="000F2D42" w:rsidRDefault="000F2D42" w:rsidP="000F2D42">
      <w:pPr>
        <w:pStyle w:val="p11"/>
        <w:shd w:val="clear" w:color="auto" w:fill="F9F9F9"/>
        <w:spacing w:line="300" w:lineRule="atLeast"/>
        <w:jc w:val="both"/>
      </w:pPr>
      <w:r>
        <w:rPr>
          <w:sz w:val="16"/>
          <w:szCs w:val="16"/>
        </w:rPr>
        <w:t xml:space="preserve">11) </w:t>
      </w:r>
      <w:hyperlink r:id="rId6" w:anchor="_edn2%23_edn2" w:history="1">
        <w:bookmarkStart w:id="1" w:name="_ednref2"/>
        <w:r>
          <w:rPr>
            <w:rStyle w:val="Znakiprzypiswkocowych"/>
            <w:color w:val="374D5C"/>
            <w:sz w:val="16"/>
            <w:szCs w:val="16"/>
          </w:rPr>
          <w:t>[2]</w:t>
        </w:r>
      </w:hyperlink>
      <w:bookmarkEnd w:id="1"/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</w:t>
      </w:r>
      <w:r>
        <w:rPr>
          <w:bCs/>
          <w:sz w:val="16"/>
          <w:szCs w:val="16"/>
        </w:rPr>
        <w:fldChar w:fldCharType="begin"/>
      </w:r>
      <w:r>
        <w:instrText>PAGE</w:instrText>
      </w:r>
      <w:r>
        <w:fldChar w:fldCharType="separate"/>
      </w:r>
      <w:r>
        <w:t>10</w:t>
      </w:r>
      <w:r>
        <w:fldChar w:fldCharType="end"/>
      </w:r>
      <w:r>
        <w:rPr>
          <w:bCs/>
          <w:sz w:val="16"/>
          <w:szCs w:val="16"/>
        </w:rPr>
        <w:t xml:space="preserve">rt. 9 lub </w:t>
      </w:r>
      <w:r>
        <w:rPr>
          <w:bCs/>
          <w:sz w:val="16"/>
          <w:szCs w:val="16"/>
        </w:rPr>
        <w:fldChar w:fldCharType="begin"/>
      </w:r>
      <w:r>
        <w:instrText>PAGE</w:instrText>
      </w:r>
      <w:r>
        <w:fldChar w:fldCharType="separate"/>
      </w:r>
      <w:r>
        <w:t>10</w:t>
      </w:r>
      <w:r>
        <w:fldChar w:fldCharType="end"/>
      </w:r>
      <w:r>
        <w:rPr>
          <w:bCs/>
          <w:sz w:val="16"/>
          <w:szCs w:val="16"/>
        </w:rPr>
        <w:t xml:space="preserve">rt. 10 ustawy </w:t>
      </w:r>
      <w:r>
        <w:rPr>
          <w:rStyle w:val="zsp01"/>
          <w:bCs/>
          <w:sz w:val="16"/>
          <w:szCs w:val="16"/>
        </w:rPr>
        <w:t>z dnia 15 czerwca 2012 r. o skutkach powierzania wykonywania pracy cudzoziemcom przebywającym wbrew przepisom na terytorium Rzeczypospolitej Polskiej – przez okres 1 roku od dnia uprawomocnienia się wyroku</w:t>
      </w:r>
      <w:r>
        <w:rPr>
          <w:rStyle w:val="zsp01"/>
          <w:rFonts w:cs="Tahoma"/>
          <w:bCs/>
          <w:sz w:val="18"/>
          <w:szCs w:val="18"/>
        </w:rPr>
        <w:t>.</w:t>
      </w:r>
    </w:p>
    <w:p w:rsidR="000F2D42" w:rsidRDefault="000F2D42" w:rsidP="000F2D42">
      <w:pPr>
        <w:jc w:val="both"/>
        <w:rPr>
          <w:sz w:val="24"/>
          <w:szCs w:val="24"/>
        </w:rPr>
      </w:pPr>
    </w:p>
    <w:p w:rsidR="0004515F" w:rsidRDefault="0004515F">
      <w:bookmarkStart w:id="2" w:name="_GoBack"/>
      <w:bookmarkEnd w:id="2"/>
    </w:p>
    <w:sectPr w:rsidR="0004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2"/>
    <w:rsid w:val="0004515F"/>
    <w:rsid w:val="000F2D42"/>
    <w:rsid w:val="00B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4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basedOn w:val="Domylnaczcionkaakapitu"/>
    <w:qFormat/>
    <w:rsid w:val="000F2D42"/>
    <w:rPr>
      <w:sz w:val="17"/>
      <w:vertAlign w:val="superscript"/>
    </w:rPr>
  </w:style>
  <w:style w:type="character" w:customStyle="1" w:styleId="zsp01">
    <w:name w:val="zsp01"/>
    <w:qFormat/>
    <w:rsid w:val="000F2D42"/>
    <w:rPr>
      <w:rFonts w:ascii="TimesNewRomanPSMT" w:hAnsi="TimesNewRomanPSMT" w:cs="TimesNewRomanPSMT"/>
    </w:rPr>
  </w:style>
  <w:style w:type="paragraph" w:customStyle="1" w:styleId="p11">
    <w:name w:val="p11"/>
    <w:basedOn w:val="Normalny"/>
    <w:qFormat/>
    <w:rsid w:val="000F2D42"/>
    <w:pPr>
      <w:spacing w:after="150"/>
    </w:pPr>
    <w:rPr>
      <w:rFonts w:eastAsia="Calibri"/>
      <w:sz w:val="24"/>
      <w:szCs w:val="24"/>
    </w:rPr>
  </w:style>
  <w:style w:type="paragraph" w:customStyle="1" w:styleId="p0">
    <w:name w:val="p0"/>
    <w:basedOn w:val="Normalny"/>
    <w:qFormat/>
    <w:rsid w:val="000F2D42"/>
    <w:pPr>
      <w:spacing w:after="15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4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basedOn w:val="Domylnaczcionkaakapitu"/>
    <w:qFormat/>
    <w:rsid w:val="000F2D42"/>
    <w:rPr>
      <w:sz w:val="17"/>
      <w:vertAlign w:val="superscript"/>
    </w:rPr>
  </w:style>
  <w:style w:type="character" w:customStyle="1" w:styleId="zsp01">
    <w:name w:val="zsp01"/>
    <w:qFormat/>
    <w:rsid w:val="000F2D42"/>
    <w:rPr>
      <w:rFonts w:ascii="TimesNewRomanPSMT" w:hAnsi="TimesNewRomanPSMT" w:cs="TimesNewRomanPSMT"/>
    </w:rPr>
  </w:style>
  <w:style w:type="paragraph" w:customStyle="1" w:styleId="p11">
    <w:name w:val="p11"/>
    <w:basedOn w:val="Normalny"/>
    <w:qFormat/>
    <w:rsid w:val="000F2D42"/>
    <w:pPr>
      <w:spacing w:after="150"/>
    </w:pPr>
    <w:rPr>
      <w:rFonts w:eastAsia="Calibri"/>
      <w:sz w:val="24"/>
      <w:szCs w:val="24"/>
    </w:rPr>
  </w:style>
  <w:style w:type="paragraph" w:customStyle="1" w:styleId="p0">
    <w:name w:val="p0"/>
    <w:basedOn w:val="Normalny"/>
    <w:qFormat/>
    <w:rsid w:val="000F2D42"/>
    <w:pPr>
      <w:spacing w:after="15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moc3dgp.inforlex.pl/szukaj/indeks/tresc,ak,DZU.2010.113.0000759,USTAWA-z-dnia-29-stycznia-2004-r-Prawo-zamowien-publicznych.html?fid=item&amp;szukaj=186&amp;pozycja=1" TargetMode="External"/><Relationship Id="rId5" Type="http://schemas.openxmlformats.org/officeDocument/2006/relationships/hyperlink" Target="http://pomoc3dgp.inforlex.pl/szukaj/indeks/tresc,ak,DZU.2010.113.0000759,USTAWA-z-dnia-29-stycznia-2004-r-Prawo-zamowien-publicznych.html?fid=item&amp;szukaj=186&amp;pozycj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Kot</dc:creator>
  <cp:lastModifiedBy>Paweł Kot</cp:lastModifiedBy>
  <cp:revision>1</cp:revision>
  <dcterms:created xsi:type="dcterms:W3CDTF">2016-02-09T09:07:00Z</dcterms:created>
  <dcterms:modified xsi:type="dcterms:W3CDTF">2016-02-09T09:07:00Z</dcterms:modified>
</cp:coreProperties>
</file>